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A8" w:rsidRDefault="00F377A9" w:rsidP="00E479A8">
      <w:pPr>
        <w:spacing w:before="79" w:line="321" w:lineRule="exact"/>
        <w:ind w:right="40"/>
        <w:jc w:val="center"/>
        <w:rPr>
          <w:b/>
          <w:sz w:val="28"/>
        </w:rPr>
      </w:pPr>
      <w:bookmarkStart w:id="0" w:name="_GoBack"/>
      <w:bookmarkEnd w:id="0"/>
      <w:r>
        <w:rPr>
          <w:b/>
          <w:sz w:val="28"/>
        </w:rPr>
        <w:t xml:space="preserve">Attachment E - </w:t>
      </w:r>
      <w:r w:rsidR="00E479A8">
        <w:rPr>
          <w:b/>
          <w:sz w:val="28"/>
        </w:rPr>
        <w:t>Data Sharing Agreement</w:t>
      </w:r>
    </w:p>
    <w:p w:rsidR="00E479A8" w:rsidRDefault="00E479A8" w:rsidP="00E479A8">
      <w:pPr>
        <w:spacing w:line="275" w:lineRule="exact"/>
        <w:ind w:right="40"/>
        <w:jc w:val="center"/>
        <w:rPr>
          <w:sz w:val="24"/>
        </w:rPr>
      </w:pPr>
      <w:r>
        <w:rPr>
          <w:sz w:val="24"/>
        </w:rPr>
        <w:t>Between</w:t>
      </w:r>
    </w:p>
    <w:p w:rsidR="00E479A8" w:rsidRDefault="00412056" w:rsidP="00E479A8">
      <w:pPr>
        <w:spacing w:before="2" w:line="321" w:lineRule="exact"/>
        <w:ind w:right="40"/>
        <w:jc w:val="center"/>
        <w:rPr>
          <w:b/>
          <w:sz w:val="28"/>
        </w:rPr>
      </w:pPr>
      <w:r>
        <w:rPr>
          <w:b/>
          <w:sz w:val="28"/>
        </w:rPr>
        <w:t>Nebraska Public Service Commission</w:t>
      </w:r>
    </w:p>
    <w:p w:rsidR="00E479A8" w:rsidRDefault="00E479A8" w:rsidP="00E479A8">
      <w:pPr>
        <w:spacing w:line="275" w:lineRule="exact"/>
        <w:ind w:right="40"/>
        <w:jc w:val="center"/>
        <w:rPr>
          <w:sz w:val="24"/>
        </w:rPr>
      </w:pPr>
      <w:r>
        <w:rPr>
          <w:sz w:val="24"/>
        </w:rPr>
        <w:t>And</w:t>
      </w:r>
    </w:p>
    <w:p w:rsidR="00E479A8" w:rsidRDefault="00E479A8" w:rsidP="00E479A8">
      <w:pPr>
        <w:spacing w:before="2"/>
        <w:ind w:right="40"/>
        <w:jc w:val="center"/>
        <w:rPr>
          <w:b/>
          <w:sz w:val="28"/>
        </w:rPr>
      </w:pPr>
      <w:r>
        <w:rPr>
          <w:b/>
          <w:sz w:val="28"/>
        </w:rPr>
        <w:t>[Name of PSAP]</w:t>
      </w:r>
    </w:p>
    <w:p w:rsidR="00E479A8" w:rsidRPr="00E479A8" w:rsidRDefault="00E479A8" w:rsidP="00E479A8">
      <w:pPr>
        <w:pStyle w:val="BodyText"/>
        <w:ind w:left="120" w:right="336"/>
        <w:jc w:val="center"/>
      </w:pPr>
    </w:p>
    <w:p w:rsidR="00E479A8" w:rsidRPr="00E479A8" w:rsidRDefault="00E479A8">
      <w:pPr>
        <w:pStyle w:val="BodyText"/>
        <w:ind w:left="120" w:right="336"/>
      </w:pPr>
    </w:p>
    <w:p w:rsidR="00A62191" w:rsidRDefault="000E1AB5" w:rsidP="00AB26F9">
      <w:pPr>
        <w:pStyle w:val="BodyText"/>
        <w:ind w:right="40"/>
      </w:pPr>
      <w:r>
        <w:rPr>
          <w:i/>
        </w:rPr>
        <w:t xml:space="preserve">Participants: </w:t>
      </w:r>
      <w:r>
        <w:t>This Data Sharing Agreement (</w:t>
      </w:r>
      <w:r w:rsidR="00412056">
        <w:t>“</w:t>
      </w:r>
      <w:r>
        <w:t>DSA</w:t>
      </w:r>
      <w:r w:rsidR="00412056">
        <w:t>”</w:t>
      </w:r>
      <w:r>
        <w:t xml:space="preserve">) is entered into by and between </w:t>
      </w:r>
      <w:r w:rsidR="00412056">
        <w:t xml:space="preserve">the Nebraska Public Service Commission </w:t>
      </w:r>
      <w:r>
        <w:t>(“</w:t>
      </w:r>
      <w:r w:rsidR="00412056">
        <w:t>Commission</w:t>
      </w:r>
      <w:r>
        <w:t>”)</w:t>
      </w:r>
      <w:r w:rsidR="00E479A8">
        <w:t xml:space="preserve">  and </w:t>
      </w:r>
      <w:r w:rsidR="00E479A8" w:rsidRPr="00E479A8">
        <w:t>[Name of PSAP]</w:t>
      </w:r>
      <w:r w:rsidR="00E479A8">
        <w:t xml:space="preserve"> (“PSAP”)</w:t>
      </w:r>
      <w:r w:rsidRPr="00E479A8">
        <w:t>.</w:t>
      </w:r>
    </w:p>
    <w:p w:rsidR="00A62191" w:rsidRDefault="00A62191" w:rsidP="00AB26F9">
      <w:pPr>
        <w:pStyle w:val="BodyText"/>
        <w:ind w:right="40"/>
        <w:rPr>
          <w:sz w:val="14"/>
        </w:rPr>
      </w:pPr>
    </w:p>
    <w:p w:rsidR="00A62191" w:rsidRDefault="000E1AB5" w:rsidP="00AB26F9">
      <w:pPr>
        <w:pStyle w:val="BodyText"/>
        <w:spacing w:before="92"/>
        <w:ind w:right="40"/>
      </w:pPr>
      <w:r>
        <w:rPr>
          <w:i/>
        </w:rPr>
        <w:t xml:space="preserve">Purpose: </w:t>
      </w:r>
      <w:r>
        <w:t xml:space="preserve">The purpose of this DSA is to describe the sharing of </w:t>
      </w:r>
      <w:r w:rsidR="00660C47">
        <w:t xml:space="preserve">certain </w:t>
      </w:r>
      <w:r>
        <w:t xml:space="preserve">data between the </w:t>
      </w:r>
      <w:r w:rsidR="00412056">
        <w:t>Commission</w:t>
      </w:r>
      <w:r>
        <w:t xml:space="preserve"> and the PSAP and the authority and responsibilities of the </w:t>
      </w:r>
      <w:r w:rsidR="00412056">
        <w:t>Commission</w:t>
      </w:r>
      <w:r>
        <w:t xml:space="preserve"> and PSAP regarding those data.</w:t>
      </w:r>
    </w:p>
    <w:p w:rsidR="00A62191" w:rsidRDefault="00A62191" w:rsidP="00AB26F9">
      <w:pPr>
        <w:pStyle w:val="BodyText"/>
        <w:spacing w:before="11"/>
        <w:ind w:right="40"/>
        <w:rPr>
          <w:sz w:val="21"/>
        </w:rPr>
      </w:pPr>
    </w:p>
    <w:p w:rsidR="00A62191" w:rsidRDefault="000E1AB5" w:rsidP="00AB26F9">
      <w:pPr>
        <w:pStyle w:val="BodyText"/>
        <w:ind w:right="40"/>
      </w:pPr>
      <w:r>
        <w:rPr>
          <w:i/>
        </w:rPr>
        <w:t>Effective Date</w:t>
      </w:r>
      <w:r>
        <w:t xml:space="preserve">: This DSA will become effective upon </w:t>
      </w:r>
      <w:r w:rsidR="0091428D">
        <w:t>the last date of execution by a party hereto</w:t>
      </w:r>
      <w:r w:rsidR="00002150">
        <w:t xml:space="preserve">, as stated on the </w:t>
      </w:r>
      <w:r w:rsidR="0091428D">
        <w:t>signature page</w:t>
      </w:r>
      <w:r>
        <w:t>.</w:t>
      </w:r>
    </w:p>
    <w:p w:rsidR="00A62191" w:rsidRDefault="00A62191" w:rsidP="00AB26F9">
      <w:pPr>
        <w:pStyle w:val="BodyText"/>
        <w:spacing w:before="1"/>
        <w:ind w:right="40"/>
      </w:pPr>
    </w:p>
    <w:p w:rsidR="00A62191" w:rsidRDefault="000E1AB5" w:rsidP="00AB26F9">
      <w:pPr>
        <w:pStyle w:val="Heading1"/>
        <w:ind w:left="0" w:right="40"/>
      </w:pPr>
      <w:r>
        <w:t>Product/Service Description</w:t>
      </w:r>
    </w:p>
    <w:p w:rsidR="00412056" w:rsidRDefault="00412056" w:rsidP="00AB26F9">
      <w:pPr>
        <w:pStyle w:val="Heading1"/>
        <w:ind w:left="0" w:right="40"/>
      </w:pPr>
    </w:p>
    <w:p w:rsidR="00A62191" w:rsidRDefault="000E1AB5" w:rsidP="00EC2734">
      <w:pPr>
        <w:pStyle w:val="BodyText"/>
        <w:ind w:right="40" w:firstLine="269"/>
      </w:pPr>
      <w:r>
        <w:t>Emergency Call Tracking System (</w:t>
      </w:r>
      <w:r w:rsidR="00412056">
        <w:t>“</w:t>
      </w:r>
      <w:r>
        <w:t>ECaTS</w:t>
      </w:r>
      <w:r w:rsidR="00412056">
        <w:t>”</w:t>
      </w:r>
      <w:r>
        <w:t>)</w:t>
      </w:r>
      <w:r w:rsidR="00EC2734">
        <w:t xml:space="preserve"> is a service </w:t>
      </w:r>
      <w:r>
        <w:t xml:space="preserve">which collects </w:t>
      </w:r>
      <w:r w:rsidR="00EC2734">
        <w:t xml:space="preserve">and provides reporting and analytics of </w:t>
      </w:r>
      <w:r>
        <w:t>9-1-1 call data.</w:t>
      </w:r>
      <w:r w:rsidR="00EC2734">
        <w:t xml:space="preserve">  </w:t>
      </w:r>
      <w:r>
        <w:t>ECaTS consists of a data repository</w:t>
      </w:r>
      <w:r w:rsidR="00EC2734">
        <w:t>,</w:t>
      </w:r>
      <w:r>
        <w:t xml:space="preserve"> information technology tool</w:t>
      </w:r>
      <w:r w:rsidR="00EC2734">
        <w:t>s</w:t>
      </w:r>
      <w:r>
        <w:t xml:space="preserve"> and services to organize, manage, manipulate, analyze and secure the data within the </w:t>
      </w:r>
      <w:r w:rsidR="00EC2734">
        <w:t>repository,</w:t>
      </w:r>
      <w:r>
        <w:t xml:space="preserve"> and professional and technical expertise to manage, protect</w:t>
      </w:r>
      <w:r w:rsidR="00EC2734">
        <w:t>,</w:t>
      </w:r>
      <w:r>
        <w:t xml:space="preserve"> and conduct studies on those data.</w:t>
      </w:r>
      <w:r w:rsidR="00EC2734">
        <w:t xml:space="preserve"> ECaTS</w:t>
      </w:r>
      <w:r>
        <w:t xml:space="preserve"> will install a small Remote Data Distribution Module (</w:t>
      </w:r>
      <w:r w:rsidR="00EC2734">
        <w:t>“</w:t>
      </w:r>
      <w:r>
        <w:t>RDDM</w:t>
      </w:r>
      <w:r w:rsidR="00EC2734">
        <w:t>”</w:t>
      </w:r>
      <w:r>
        <w:t xml:space="preserve">) buffer box at </w:t>
      </w:r>
      <w:r w:rsidR="00EC2734">
        <w:t xml:space="preserve">the </w:t>
      </w:r>
      <w:r>
        <w:t>PSAP</w:t>
      </w:r>
      <w:r w:rsidR="00B4369B">
        <w:t xml:space="preserve"> (or at the related host location)</w:t>
      </w:r>
      <w:r>
        <w:t xml:space="preserve"> and connect it to the Call Handling Equipment (</w:t>
      </w:r>
      <w:r w:rsidR="00EC2734">
        <w:t>“</w:t>
      </w:r>
      <w:r>
        <w:t>CHE</w:t>
      </w:r>
      <w:r w:rsidR="00EC2734">
        <w:t>”</w:t>
      </w:r>
      <w:r>
        <w:t>) Call Detail Record (</w:t>
      </w:r>
      <w:r w:rsidR="00EC2734">
        <w:t>“</w:t>
      </w:r>
      <w:r>
        <w:t>CDR</w:t>
      </w:r>
      <w:r w:rsidR="00EC2734">
        <w:t>”</w:t>
      </w:r>
      <w:r>
        <w:t xml:space="preserve">) (outgoing information only) port. This information will be encrypted and </w:t>
      </w:r>
      <w:r w:rsidR="00EC2734">
        <w:t>delivered via the i</w:t>
      </w:r>
      <w:r>
        <w:t xml:space="preserve">nternet to </w:t>
      </w:r>
      <w:r w:rsidR="00EC2734">
        <w:t xml:space="preserve">ECaTS </w:t>
      </w:r>
      <w:r>
        <w:t>for processing and reporting.</w:t>
      </w:r>
    </w:p>
    <w:p w:rsidR="00A62191" w:rsidRDefault="00A62191" w:rsidP="00AB26F9">
      <w:pPr>
        <w:pStyle w:val="BodyText"/>
        <w:spacing w:before="10"/>
        <w:ind w:right="40"/>
        <w:rPr>
          <w:sz w:val="21"/>
        </w:rPr>
      </w:pPr>
    </w:p>
    <w:p w:rsidR="00A62191" w:rsidRDefault="000E1AB5" w:rsidP="00AB26F9">
      <w:pPr>
        <w:pStyle w:val="BodyText"/>
        <w:spacing w:before="1"/>
        <w:ind w:right="40" w:firstLine="269"/>
      </w:pPr>
      <w:r>
        <w:t xml:space="preserve">The goal of the </w:t>
      </w:r>
      <w:r w:rsidR="00412056">
        <w:t>Commission</w:t>
      </w:r>
      <w:r>
        <w:t xml:space="preserve"> is to </w:t>
      </w:r>
      <w:r w:rsidR="0091428D">
        <w:t xml:space="preserve">use </w:t>
      </w:r>
      <w:r>
        <w:t xml:space="preserve">ECaTS </w:t>
      </w:r>
      <w:r w:rsidR="0091428D">
        <w:t xml:space="preserve">data </w:t>
      </w:r>
      <w:r>
        <w:t xml:space="preserve">to optimize call routing and delivery, monitor the efficiency of the 9-1-1 </w:t>
      </w:r>
      <w:r w:rsidR="0091428D">
        <w:t xml:space="preserve">Service System in Nebraska and conduct studies to </w:t>
      </w:r>
      <w:r w:rsidR="00002150">
        <w:t xml:space="preserve">facilitate </w:t>
      </w:r>
      <w:r w:rsidR="0091428D">
        <w:t>the implementation of Next Generation 9-1-1</w:t>
      </w:r>
      <w:r>
        <w:t xml:space="preserve">. </w:t>
      </w:r>
      <w:r w:rsidR="0091428D">
        <w:t xml:space="preserve"> </w:t>
      </w:r>
      <w:r w:rsidR="00002150">
        <w:t xml:space="preserve">Data </w:t>
      </w:r>
      <w:r>
        <w:t>collect</w:t>
      </w:r>
      <w:r w:rsidR="00002150">
        <w:t>ed</w:t>
      </w:r>
      <w:r>
        <w:t xml:space="preserve"> and analy</w:t>
      </w:r>
      <w:r w:rsidR="00002150">
        <w:t xml:space="preserve">zed </w:t>
      </w:r>
      <w:r w:rsidR="0091428D">
        <w:t>via</w:t>
      </w:r>
      <w:r>
        <w:t xml:space="preserve"> ECaTS will </w:t>
      </w:r>
      <w:r w:rsidR="00002150">
        <w:t xml:space="preserve">be used to develop a </w:t>
      </w:r>
      <w:r>
        <w:t>better understanding of the operational characteristics and trends associated with the delivery of 9-1-1 calls</w:t>
      </w:r>
      <w:r w:rsidR="0091428D">
        <w:t xml:space="preserve"> statewide</w:t>
      </w:r>
      <w:r>
        <w:t xml:space="preserve">, and provide a </w:t>
      </w:r>
      <w:r w:rsidR="00002150">
        <w:t xml:space="preserve">baseline of </w:t>
      </w:r>
      <w:r>
        <w:t xml:space="preserve">data </w:t>
      </w:r>
      <w:r w:rsidR="00002150">
        <w:t>for comparison</w:t>
      </w:r>
      <w:r>
        <w:t xml:space="preserve"> as Next Generation 9-1-1 functionality is implemented.</w:t>
      </w:r>
    </w:p>
    <w:p w:rsidR="00A62191" w:rsidRDefault="00A62191" w:rsidP="00AB26F9">
      <w:pPr>
        <w:pStyle w:val="BodyText"/>
        <w:spacing w:before="1"/>
        <w:ind w:right="40"/>
      </w:pPr>
    </w:p>
    <w:p w:rsidR="00A62191" w:rsidRDefault="000E1AB5" w:rsidP="00AB26F9">
      <w:pPr>
        <w:pStyle w:val="Heading1"/>
        <w:ind w:left="0" w:right="40"/>
      </w:pPr>
      <w:r>
        <w:t>Data Ownership, Retention, and Requests</w:t>
      </w:r>
    </w:p>
    <w:p w:rsidR="00A62191" w:rsidRDefault="000E1AB5" w:rsidP="00AB26F9">
      <w:pPr>
        <w:pStyle w:val="BodyText"/>
        <w:ind w:right="40" w:firstLine="269"/>
      </w:pPr>
      <w:r>
        <w:t xml:space="preserve">The PSAP </w:t>
      </w:r>
      <w:r w:rsidR="00002150">
        <w:t xml:space="preserve">is </w:t>
      </w:r>
      <w:r>
        <w:t xml:space="preserve">the owner </w:t>
      </w:r>
      <w:r w:rsidR="000D7320">
        <w:t xml:space="preserve">of </w:t>
      </w:r>
      <w:r>
        <w:t xml:space="preserve">the data </w:t>
      </w:r>
      <w:r w:rsidR="00002150">
        <w:t xml:space="preserve">collected by </w:t>
      </w:r>
      <w:r>
        <w:t xml:space="preserve">ECaTS. </w:t>
      </w:r>
      <w:r w:rsidR="00002150">
        <w:t xml:space="preserve"> </w:t>
      </w:r>
      <w:r w:rsidR="000D7320">
        <w:t xml:space="preserve">The PSAP is the custodian of such data for purposes of the Nebraska Public Records Statutes, </w:t>
      </w:r>
      <w:r w:rsidR="000D7320" w:rsidRPr="000D7320">
        <w:t xml:space="preserve">Neb. Rev. Stat. §§ 84-712 </w:t>
      </w:r>
      <w:r w:rsidR="000D7320">
        <w:t>to</w:t>
      </w:r>
      <w:r w:rsidR="000D7320" w:rsidRPr="000D7320">
        <w:t xml:space="preserve"> 84</w:t>
      </w:r>
      <w:r w:rsidR="000D7320">
        <w:noBreakHyphen/>
      </w:r>
      <w:r w:rsidR="000D7320" w:rsidRPr="000D7320">
        <w:t>712.09</w:t>
      </w:r>
      <w:r w:rsidR="000D7320">
        <w:t xml:space="preserve">.  </w:t>
      </w:r>
      <w:r w:rsidR="000D7320" w:rsidRPr="000D7320">
        <w:t xml:space="preserve"> </w:t>
      </w:r>
      <w:r w:rsidR="00DE703A">
        <w:t xml:space="preserve">The Commission will notify the PSAP of any public records request received by the Commission with respect to any data that is subject to this DSA.  </w:t>
      </w:r>
      <w:r w:rsidR="00660C47">
        <w:t>P</w:t>
      </w:r>
      <w:r w:rsidR="00002150">
        <w:t xml:space="preserve">ublic records requests </w:t>
      </w:r>
      <w:r w:rsidR="00660C47">
        <w:t xml:space="preserve">received by </w:t>
      </w:r>
      <w:r w:rsidR="00942EF2">
        <w:t xml:space="preserve">ECaTS </w:t>
      </w:r>
      <w:r w:rsidR="000D7320">
        <w:t xml:space="preserve">for </w:t>
      </w:r>
      <w:r w:rsidR="00660C47">
        <w:t xml:space="preserve">access to </w:t>
      </w:r>
      <w:r w:rsidR="000D7320">
        <w:t xml:space="preserve">ECaTS data </w:t>
      </w:r>
      <w:r w:rsidR="00660C47">
        <w:t xml:space="preserve">will be </w:t>
      </w:r>
      <w:r w:rsidR="00942EF2">
        <w:t xml:space="preserve">forwarded </w:t>
      </w:r>
      <w:r w:rsidR="00660C47">
        <w:t xml:space="preserve">to the </w:t>
      </w:r>
      <w:r w:rsidR="000D7320">
        <w:t>PSAP</w:t>
      </w:r>
      <w:r w:rsidR="00942EF2">
        <w:t xml:space="preserve"> for an appropriate response</w:t>
      </w:r>
      <w:r>
        <w:t>.</w:t>
      </w:r>
      <w:r w:rsidR="00DE703A">
        <w:t xml:space="preserve">  </w:t>
      </w:r>
    </w:p>
    <w:p w:rsidR="00002150" w:rsidRDefault="00002150" w:rsidP="00AB26F9">
      <w:pPr>
        <w:pStyle w:val="BodyText"/>
        <w:ind w:right="40" w:firstLine="269"/>
      </w:pPr>
    </w:p>
    <w:p w:rsidR="00A62191" w:rsidRDefault="00002150" w:rsidP="00AB26F9">
      <w:pPr>
        <w:pStyle w:val="BodyText"/>
        <w:spacing w:before="1"/>
        <w:ind w:right="40" w:firstLine="269"/>
      </w:pPr>
      <w:r>
        <w:t>ECaTS</w:t>
      </w:r>
      <w:r w:rsidR="000E1AB5">
        <w:t xml:space="preserve"> will not delete </w:t>
      </w:r>
      <w:r w:rsidR="000D7320">
        <w:t xml:space="preserve">the PSAP’s </w:t>
      </w:r>
      <w:r w:rsidR="000E1AB5">
        <w:t>data</w:t>
      </w:r>
      <w:r w:rsidR="000D7320">
        <w:t xml:space="preserve"> without permission of the </w:t>
      </w:r>
      <w:r w:rsidR="000E1AB5">
        <w:t xml:space="preserve">PSAP, the PSAP is responsible for </w:t>
      </w:r>
      <w:r w:rsidR="00660C47">
        <w:t xml:space="preserve">maintaining such data pursuant to the PSAP record retention schedule applicable to such data as provided in the </w:t>
      </w:r>
      <w:r w:rsidR="00DE703A">
        <w:t>Nebraska Public Record Statutes</w:t>
      </w:r>
      <w:r w:rsidR="00660C47">
        <w:t xml:space="preserve">, </w:t>
      </w:r>
      <w:r w:rsidR="00660C47" w:rsidRPr="000D7320">
        <w:t>Neb. Rev. Stat. §§</w:t>
      </w:r>
      <w:r w:rsidR="00660C47">
        <w:t> </w:t>
      </w:r>
      <w:r w:rsidR="00660C47" w:rsidRPr="000D7320">
        <w:t>84</w:t>
      </w:r>
      <w:r w:rsidR="00660C47">
        <w:noBreakHyphen/>
        <w:t>1201 to</w:t>
      </w:r>
      <w:r w:rsidR="00660C47" w:rsidRPr="000D7320">
        <w:t xml:space="preserve"> 84</w:t>
      </w:r>
      <w:r w:rsidR="00660C47">
        <w:noBreakHyphen/>
        <w:t xml:space="preserve">1229. </w:t>
      </w:r>
      <w:r w:rsidR="000E1AB5">
        <w:t xml:space="preserve"> </w:t>
      </w:r>
    </w:p>
    <w:p w:rsidR="00660C47" w:rsidRDefault="00660C47" w:rsidP="00AB26F9">
      <w:pPr>
        <w:pStyle w:val="BodyText"/>
        <w:spacing w:before="1"/>
        <w:ind w:right="40" w:firstLine="269"/>
      </w:pPr>
    </w:p>
    <w:p w:rsidR="00A62191" w:rsidRDefault="00A62191" w:rsidP="00AB26F9">
      <w:pPr>
        <w:pStyle w:val="BodyText"/>
        <w:spacing w:before="1"/>
        <w:ind w:right="40"/>
      </w:pPr>
    </w:p>
    <w:p w:rsidR="00A62191" w:rsidRDefault="000E1AB5" w:rsidP="00ED5449">
      <w:pPr>
        <w:pStyle w:val="Heading1"/>
        <w:keepNext/>
        <w:spacing w:before="1"/>
        <w:ind w:left="0" w:right="43"/>
      </w:pPr>
      <w:r>
        <w:t>Access to Information</w:t>
      </w:r>
    </w:p>
    <w:p w:rsidR="0052223E" w:rsidRDefault="000E1AB5" w:rsidP="00AB26F9">
      <w:pPr>
        <w:pStyle w:val="BodyText"/>
        <w:ind w:right="40" w:firstLine="270"/>
      </w:pPr>
      <w:r>
        <w:t xml:space="preserve">Each authorized user will have a unique User ID and Password that will be required to obtain access to ECaTS </w:t>
      </w:r>
      <w:r w:rsidR="00ED5449">
        <w:t xml:space="preserve">data and </w:t>
      </w:r>
      <w:r>
        <w:t>report</w:t>
      </w:r>
      <w:r w:rsidR="00ED5449">
        <w:t>s</w:t>
      </w:r>
      <w:r w:rsidR="0052223E">
        <w:t xml:space="preserve"> via the ECaTS web portal</w:t>
      </w:r>
      <w:r>
        <w:t xml:space="preserve">. </w:t>
      </w:r>
      <w:r w:rsidR="00AB26F9">
        <w:t xml:space="preserve"> </w:t>
      </w:r>
    </w:p>
    <w:p w:rsidR="00E13096" w:rsidRPr="00ED5449" w:rsidRDefault="00E13096" w:rsidP="0052223E">
      <w:pPr>
        <w:spacing w:line="275" w:lineRule="exact"/>
        <w:ind w:left="270" w:right="21"/>
      </w:pPr>
    </w:p>
    <w:p w:rsidR="00E13096" w:rsidRPr="00ED5449" w:rsidRDefault="00E13096" w:rsidP="0052223E">
      <w:pPr>
        <w:ind w:right="21" w:firstLine="270"/>
      </w:pPr>
      <w:r w:rsidRPr="00ED5449">
        <w:t xml:space="preserve">The PSAP will have access to all ECaTS reports, and the </w:t>
      </w:r>
      <w:r w:rsidR="00412056" w:rsidRPr="00ED5449">
        <w:t>Commission</w:t>
      </w:r>
      <w:r w:rsidRPr="00ED5449">
        <w:t xml:space="preserve"> will have access to the following ECaTS </w:t>
      </w:r>
      <w:r w:rsidR="0052223E">
        <w:t xml:space="preserve">summary </w:t>
      </w:r>
      <w:r w:rsidRPr="00ED5449">
        <w:t>reports:</w:t>
      </w:r>
    </w:p>
    <w:p w:rsidR="00AB26F9" w:rsidRDefault="00AB26F9" w:rsidP="00AB26F9">
      <w:pPr>
        <w:ind w:right="21"/>
        <w:rPr>
          <w:sz w:val="24"/>
        </w:rPr>
      </w:pPr>
    </w:p>
    <w:p w:rsidR="00E13096" w:rsidRDefault="00E13096" w:rsidP="00E13096">
      <w:pPr>
        <w:pStyle w:val="ListParagraph"/>
        <w:numPr>
          <w:ilvl w:val="1"/>
          <w:numId w:val="1"/>
        </w:numPr>
        <w:tabs>
          <w:tab w:val="left" w:pos="1559"/>
          <w:tab w:val="left" w:pos="1560"/>
        </w:tabs>
        <w:ind w:right="153"/>
      </w:pPr>
      <w:r>
        <w:rPr>
          <w:b/>
        </w:rPr>
        <w:t xml:space="preserve">Call Summary Report </w:t>
      </w:r>
      <w:r>
        <w:t>– Provides authorized users with a Call Volume Count based on a date range including total calls per day, total calls answered and total calls</w:t>
      </w:r>
      <w:r>
        <w:rPr>
          <w:spacing w:val="-6"/>
        </w:rPr>
        <w:t xml:space="preserve"> </w:t>
      </w:r>
      <w:r>
        <w:t>abandoned.</w:t>
      </w:r>
    </w:p>
    <w:p w:rsidR="00E13096" w:rsidRDefault="00E13096" w:rsidP="00E13096">
      <w:pPr>
        <w:pStyle w:val="ListParagraph"/>
        <w:numPr>
          <w:ilvl w:val="1"/>
          <w:numId w:val="1"/>
        </w:numPr>
        <w:tabs>
          <w:tab w:val="left" w:pos="1559"/>
          <w:tab w:val="left" w:pos="1560"/>
        </w:tabs>
        <w:spacing w:before="20" w:line="252" w:lineRule="exact"/>
        <w:ind w:right="181"/>
      </w:pPr>
      <w:r>
        <w:rPr>
          <w:b/>
        </w:rPr>
        <w:t xml:space="preserve">Calls per Hour </w:t>
      </w:r>
      <w:r>
        <w:t>– Provides total call volume (number of 911 calls), but broken</w:t>
      </w:r>
      <w:r>
        <w:rPr>
          <w:spacing w:val="-18"/>
        </w:rPr>
        <w:t xml:space="preserve"> </w:t>
      </w:r>
      <w:r>
        <w:t>up into each hour of each day for the specified range of</w:t>
      </w:r>
      <w:r>
        <w:rPr>
          <w:spacing w:val="-13"/>
        </w:rPr>
        <w:t xml:space="preserve"> </w:t>
      </w:r>
      <w:r>
        <w:t>time.</w:t>
      </w:r>
    </w:p>
    <w:p w:rsidR="00E13096" w:rsidRDefault="00E13096" w:rsidP="00E13096">
      <w:pPr>
        <w:pStyle w:val="ListParagraph"/>
        <w:numPr>
          <w:ilvl w:val="1"/>
          <w:numId w:val="1"/>
        </w:numPr>
        <w:tabs>
          <w:tab w:val="left" w:pos="1559"/>
          <w:tab w:val="left" w:pos="1560"/>
        </w:tabs>
        <w:spacing w:before="21" w:line="252" w:lineRule="exact"/>
        <w:ind w:right="155"/>
      </w:pPr>
      <w:r>
        <w:rPr>
          <w:b/>
        </w:rPr>
        <w:t xml:space="preserve">Top Busiest Hours </w:t>
      </w:r>
      <w:r>
        <w:t>– Identifies the date and time (hour of day) when the PSAPs experienced the highest volume of</w:t>
      </w:r>
      <w:r>
        <w:rPr>
          <w:spacing w:val="-9"/>
        </w:rPr>
        <w:t xml:space="preserve"> </w:t>
      </w:r>
      <w:r>
        <w:t>calls.</w:t>
      </w:r>
    </w:p>
    <w:p w:rsidR="00E13096" w:rsidRDefault="00E13096" w:rsidP="00E13096">
      <w:pPr>
        <w:pStyle w:val="ListParagraph"/>
        <w:numPr>
          <w:ilvl w:val="1"/>
          <w:numId w:val="1"/>
        </w:numPr>
        <w:tabs>
          <w:tab w:val="left" w:pos="1559"/>
          <w:tab w:val="left" w:pos="1560"/>
        </w:tabs>
        <w:spacing w:before="20" w:line="252" w:lineRule="exact"/>
        <w:ind w:right="204"/>
      </w:pPr>
      <w:r>
        <w:rPr>
          <w:b/>
        </w:rPr>
        <w:t xml:space="preserve">Calls by Circuit </w:t>
      </w:r>
      <w:r>
        <w:t>– Provides a breakdown of total call volume by circuit and/or by Trunk for the specified period of</w:t>
      </w:r>
      <w:r>
        <w:rPr>
          <w:spacing w:val="-9"/>
        </w:rPr>
        <w:t xml:space="preserve"> </w:t>
      </w:r>
      <w:r>
        <w:t>time.</w:t>
      </w:r>
    </w:p>
    <w:p w:rsidR="00E13096" w:rsidRDefault="00E13096" w:rsidP="00E13096">
      <w:pPr>
        <w:pStyle w:val="ListParagraph"/>
        <w:numPr>
          <w:ilvl w:val="1"/>
          <w:numId w:val="1"/>
        </w:numPr>
        <w:tabs>
          <w:tab w:val="left" w:pos="1559"/>
          <w:tab w:val="left" w:pos="1560"/>
        </w:tabs>
        <w:ind w:right="164"/>
      </w:pPr>
      <w:r>
        <w:rPr>
          <w:b/>
        </w:rPr>
        <w:t xml:space="preserve">Circuit Utilization </w:t>
      </w:r>
      <w:r>
        <w:t>- The report reflects the amount of time that one or more circuits in each trunk group are utilized simultaneously. The report gives the percentage to the sixth nearest decimal to ensure accurate rounding of</w:t>
      </w:r>
      <w:r>
        <w:rPr>
          <w:spacing w:val="-17"/>
        </w:rPr>
        <w:t xml:space="preserve"> </w:t>
      </w:r>
      <w:r>
        <w:t>statistics.</w:t>
      </w:r>
    </w:p>
    <w:p w:rsidR="00E13096" w:rsidRDefault="00E13096" w:rsidP="00E13096">
      <w:pPr>
        <w:pStyle w:val="ListParagraph"/>
        <w:numPr>
          <w:ilvl w:val="1"/>
          <w:numId w:val="1"/>
        </w:numPr>
        <w:tabs>
          <w:tab w:val="left" w:pos="1559"/>
          <w:tab w:val="left" w:pos="1560"/>
        </w:tabs>
        <w:spacing w:before="20" w:line="252" w:lineRule="exact"/>
        <w:ind w:right="413"/>
      </w:pPr>
      <w:r>
        <w:rPr>
          <w:b/>
        </w:rPr>
        <w:t xml:space="preserve">Class of Service </w:t>
      </w:r>
      <w:r>
        <w:t>– Provides a breakdown of 911 calls based on their Class</w:t>
      </w:r>
      <w:r>
        <w:rPr>
          <w:spacing w:val="-17"/>
        </w:rPr>
        <w:t xml:space="preserve"> </w:t>
      </w:r>
      <w:r>
        <w:t>of Service (i.e.: Wireless Phase 2, VOIP, Business, Centrex,</w:t>
      </w:r>
      <w:r>
        <w:rPr>
          <w:spacing w:val="-13"/>
        </w:rPr>
        <w:t xml:space="preserve"> </w:t>
      </w:r>
      <w:r>
        <w:t>etc.).</w:t>
      </w:r>
    </w:p>
    <w:p w:rsidR="00E13096" w:rsidRDefault="00E13096" w:rsidP="00E13096">
      <w:pPr>
        <w:pStyle w:val="ListParagraph"/>
        <w:numPr>
          <w:ilvl w:val="1"/>
          <w:numId w:val="1"/>
        </w:numPr>
        <w:tabs>
          <w:tab w:val="left" w:pos="1559"/>
          <w:tab w:val="left" w:pos="1560"/>
        </w:tabs>
        <w:spacing w:before="3"/>
        <w:ind w:right="288"/>
      </w:pPr>
      <w:r>
        <w:rPr>
          <w:b/>
        </w:rPr>
        <w:t xml:space="preserve">Outage </w:t>
      </w:r>
      <w:r>
        <w:t>– The Outage Report provides outage data for a selected date range. This report provides the duration time (down time) of the outage and the trouble ticket number that relates to the</w:t>
      </w:r>
      <w:r>
        <w:rPr>
          <w:spacing w:val="-10"/>
        </w:rPr>
        <w:t xml:space="preserve"> </w:t>
      </w:r>
      <w:r>
        <w:t>outage.</w:t>
      </w:r>
    </w:p>
    <w:p w:rsidR="00E13096" w:rsidRDefault="00E13096" w:rsidP="00E13096">
      <w:pPr>
        <w:pStyle w:val="ListParagraph"/>
        <w:numPr>
          <w:ilvl w:val="1"/>
          <w:numId w:val="1"/>
        </w:numPr>
        <w:tabs>
          <w:tab w:val="left" w:pos="1560"/>
        </w:tabs>
        <w:spacing w:before="1"/>
        <w:ind w:right="118"/>
        <w:jc w:val="both"/>
      </w:pPr>
      <w:r>
        <w:rPr>
          <w:b/>
        </w:rPr>
        <w:t xml:space="preserve">Wireless Call Sector </w:t>
      </w:r>
      <w:r>
        <w:t>– Provides a report for all wireless call sectors whose calls were transferred more than a certain percentage of the time, possibly indicating a miss-configured cellular tower</w:t>
      </w:r>
      <w:r>
        <w:rPr>
          <w:spacing w:val="-9"/>
        </w:rPr>
        <w:t xml:space="preserve"> </w:t>
      </w:r>
      <w:r>
        <w:t>face.</w:t>
      </w:r>
    </w:p>
    <w:p w:rsidR="00E13096" w:rsidRDefault="00E13096" w:rsidP="00E13096">
      <w:pPr>
        <w:pStyle w:val="ListParagraph"/>
        <w:numPr>
          <w:ilvl w:val="1"/>
          <w:numId w:val="1"/>
        </w:numPr>
        <w:tabs>
          <w:tab w:val="left" w:pos="1559"/>
          <w:tab w:val="left" w:pos="1560"/>
        </w:tabs>
        <w:spacing w:before="1"/>
        <w:ind w:right="201"/>
      </w:pPr>
      <w:r>
        <w:rPr>
          <w:b/>
        </w:rPr>
        <w:t xml:space="preserve">Wireless Transfer Summary </w:t>
      </w:r>
      <w:r>
        <w:t>- The Wireless Transfer Summary report will look at the total number of calls that a PSAP/destination received from a particular tower, sector and carrier. The report will then consider the total number of calls transferred from that tower, sector and carrier. Based on the PSAP/destination that each call was transferred to, the report will provide the overall percentage of calls received from that tower, sector and carrier that were transferred to the Transfer</w:t>
      </w:r>
      <w:r>
        <w:rPr>
          <w:spacing w:val="-5"/>
        </w:rPr>
        <w:t xml:space="preserve"> </w:t>
      </w:r>
      <w:r>
        <w:t>PSAP/destination.</w:t>
      </w:r>
    </w:p>
    <w:p w:rsidR="00AB26F9" w:rsidRDefault="00AB26F9" w:rsidP="00AB26F9">
      <w:pPr>
        <w:ind w:right="21"/>
        <w:rPr>
          <w:sz w:val="24"/>
        </w:rPr>
      </w:pPr>
    </w:p>
    <w:p w:rsidR="00A62191" w:rsidRDefault="000E1AB5">
      <w:pPr>
        <w:pStyle w:val="Heading1"/>
      </w:pPr>
      <w:r>
        <w:t>Connectivity</w:t>
      </w:r>
    </w:p>
    <w:p w:rsidR="00A62191" w:rsidRDefault="000E1AB5">
      <w:pPr>
        <w:pStyle w:val="BodyText"/>
        <w:ind w:left="120" w:right="367" w:firstLine="270"/>
      </w:pPr>
      <w:r>
        <w:t xml:space="preserve">PSAP will provide access of the ECaTS RDDM to their existing </w:t>
      </w:r>
      <w:r w:rsidR="00ED5449">
        <w:t>i</w:t>
      </w:r>
      <w:r>
        <w:t xml:space="preserve">nternet </w:t>
      </w:r>
      <w:r w:rsidR="00ED5449">
        <w:t xml:space="preserve">service </w:t>
      </w:r>
      <w:r>
        <w:t xml:space="preserve">provider for the </w:t>
      </w:r>
      <w:r w:rsidR="00BB6FB9">
        <w:t xml:space="preserve">limited </w:t>
      </w:r>
      <w:r>
        <w:t xml:space="preserve">purpose of </w:t>
      </w:r>
      <w:r w:rsidR="00ED5449">
        <w:t xml:space="preserve">delivering </w:t>
      </w:r>
      <w:r>
        <w:t xml:space="preserve">CDR information from the PSAP to </w:t>
      </w:r>
      <w:r w:rsidR="00ED5449">
        <w:t>ECaTS</w:t>
      </w:r>
      <w:r>
        <w:t>.</w:t>
      </w:r>
    </w:p>
    <w:p w:rsidR="00A62191" w:rsidRDefault="00A62191">
      <w:pPr>
        <w:pStyle w:val="BodyText"/>
        <w:spacing w:before="2"/>
      </w:pPr>
    </w:p>
    <w:p w:rsidR="00A62191" w:rsidRDefault="000E1AB5">
      <w:pPr>
        <w:pStyle w:val="Heading1"/>
      </w:pPr>
      <w:r>
        <w:t>Financial Responsibilities</w:t>
      </w:r>
    </w:p>
    <w:p w:rsidR="00A62191" w:rsidRDefault="000E1AB5" w:rsidP="00B5226A">
      <w:pPr>
        <w:pStyle w:val="BodyText"/>
        <w:ind w:left="90" w:right="109" w:firstLine="300"/>
      </w:pPr>
      <w:r>
        <w:t xml:space="preserve">The </w:t>
      </w:r>
      <w:r w:rsidR="00412056">
        <w:t>Commission</w:t>
      </w:r>
      <w:r>
        <w:t xml:space="preserve"> will </w:t>
      </w:r>
      <w:r w:rsidR="00ED5449">
        <w:t xml:space="preserve">pay for </w:t>
      </w:r>
      <w:r>
        <w:t>a standard set of ECaTS related services, including hardware</w:t>
      </w:r>
      <w:r w:rsidR="00ED5449">
        <w:t xml:space="preserve"> </w:t>
      </w:r>
      <w:r>
        <w:t xml:space="preserve">configuration and installation </w:t>
      </w:r>
      <w:r w:rsidR="00ED5449">
        <w:t xml:space="preserve">and the </w:t>
      </w:r>
      <w:r>
        <w:t xml:space="preserve">monthly maintenance fee. </w:t>
      </w:r>
      <w:r w:rsidR="00ED5449">
        <w:t xml:space="preserve"> </w:t>
      </w:r>
      <w:r>
        <w:t xml:space="preserve">Additional product functionality may be </w:t>
      </w:r>
      <w:r w:rsidR="00ED5449">
        <w:t xml:space="preserve">available for </w:t>
      </w:r>
      <w:r>
        <w:t>purchase by the PSAP directly from ECaTS, at the PSAP</w:t>
      </w:r>
      <w:r w:rsidR="00ED5449">
        <w:t>’</w:t>
      </w:r>
      <w:r>
        <w:t>s expense.</w:t>
      </w:r>
    </w:p>
    <w:p w:rsidR="00A62191" w:rsidRDefault="00A62191">
      <w:pPr>
        <w:pStyle w:val="BodyText"/>
      </w:pPr>
    </w:p>
    <w:p w:rsidR="00BB7A6E" w:rsidRDefault="000E1AB5" w:rsidP="00BB7A6E">
      <w:pPr>
        <w:ind w:left="119" w:right="281" w:firstLine="270"/>
      </w:pPr>
      <w:r w:rsidRPr="00780467">
        <w:t xml:space="preserve">The </w:t>
      </w:r>
      <w:r w:rsidR="00412056">
        <w:t>Commission</w:t>
      </w:r>
      <w:r w:rsidRPr="00780467">
        <w:t xml:space="preserve"> will </w:t>
      </w:r>
      <w:r w:rsidR="00ED5449">
        <w:t xml:space="preserve">also pay for required </w:t>
      </w:r>
      <w:r w:rsidRPr="00780467">
        <w:t>CDR licenses</w:t>
      </w:r>
      <w:r w:rsidR="00344FE5">
        <w:t>,</w:t>
      </w:r>
      <w:r w:rsidRPr="00780467">
        <w:t xml:space="preserve"> </w:t>
      </w:r>
      <w:r w:rsidR="00BB7A6E">
        <w:t xml:space="preserve">the RDDM </w:t>
      </w:r>
      <w:r w:rsidRPr="00780467">
        <w:t xml:space="preserve">and technical </w:t>
      </w:r>
      <w:r w:rsidRPr="00780467">
        <w:lastRenderedPageBreak/>
        <w:t>support</w:t>
      </w:r>
      <w:r w:rsidR="00344FE5">
        <w:t>,</w:t>
      </w:r>
      <w:r w:rsidRPr="00780467">
        <w:t xml:space="preserve"> setup</w:t>
      </w:r>
      <w:r w:rsidR="00344FE5">
        <w:t>,</w:t>
      </w:r>
      <w:r w:rsidRPr="00780467">
        <w:t xml:space="preserve"> and installation of the </w:t>
      </w:r>
      <w:r w:rsidRPr="00ED5449">
        <w:t>RDDM.</w:t>
      </w:r>
      <w:r w:rsidRPr="00780467">
        <w:t xml:space="preserve"> </w:t>
      </w:r>
      <w:r w:rsidR="00344FE5">
        <w:t xml:space="preserve"> </w:t>
      </w:r>
      <w:r w:rsidRPr="00780467">
        <w:t>The RDDM</w:t>
      </w:r>
      <w:r w:rsidR="00344FE5">
        <w:t xml:space="preserve">, </w:t>
      </w:r>
      <w:r w:rsidRPr="00780467">
        <w:t>power cord</w:t>
      </w:r>
      <w:r w:rsidR="00344FE5">
        <w:t>,</w:t>
      </w:r>
      <w:r w:rsidRPr="00780467">
        <w:t xml:space="preserve"> and serial cable </w:t>
      </w:r>
      <w:r w:rsidR="00BB7A6E">
        <w:t>will be the property of the Commission</w:t>
      </w:r>
      <w:r w:rsidRPr="00780467">
        <w:t>.</w:t>
      </w:r>
      <w:r w:rsidR="00BB7A6E">
        <w:t xml:space="preserve">  </w:t>
      </w:r>
      <w:r>
        <w:t xml:space="preserve">The PSAP will provide CDR data </w:t>
      </w:r>
      <w:r w:rsidR="00BB7A6E">
        <w:t xml:space="preserve">to the RDDM </w:t>
      </w:r>
      <w:r>
        <w:t>at no cost.</w:t>
      </w:r>
      <w:r w:rsidR="00C05F7B">
        <w:t xml:space="preserve">  </w:t>
      </w:r>
    </w:p>
    <w:p w:rsidR="00BB7A6E" w:rsidRDefault="00BB7A6E" w:rsidP="00B5226A">
      <w:pPr>
        <w:pStyle w:val="BodyText"/>
        <w:ind w:left="90" w:firstLine="300"/>
      </w:pPr>
    </w:p>
    <w:p w:rsidR="00BB7A6E" w:rsidRDefault="00BB7A6E" w:rsidP="00BB7A6E">
      <w:pPr>
        <w:pStyle w:val="BodyText"/>
        <w:ind w:left="90" w:firstLine="300"/>
      </w:pPr>
      <w:r w:rsidRPr="00BB7A6E">
        <w:t xml:space="preserve">The </w:t>
      </w:r>
      <w:r>
        <w:t>Commission</w:t>
      </w:r>
      <w:r w:rsidRPr="00BB7A6E">
        <w:t>’s obligation to pay amounts due are contingent upon legislative appropriation of funds. In the event that the Nebraska Legislature fails to appropriate or authorize the expenditure of sufficient funds to provide for the payment</w:t>
      </w:r>
      <w:r>
        <w:t xml:space="preserve">s referenced in </w:t>
      </w:r>
      <w:r w:rsidRPr="00BB7A6E">
        <w:t xml:space="preserve">this agreement, the </w:t>
      </w:r>
      <w:r>
        <w:t>Commission</w:t>
      </w:r>
      <w:r w:rsidRPr="00BB7A6E">
        <w:t xml:space="preserve"> may terminate this agreement with respect to those payments for the fiscal year or years for which such funds are not appropriated. The </w:t>
      </w:r>
      <w:r>
        <w:t>Commission</w:t>
      </w:r>
      <w:r w:rsidRPr="00BB7A6E">
        <w:t xml:space="preserve"> will give the </w:t>
      </w:r>
      <w:r>
        <w:t xml:space="preserve">PSAP prior written notice of any such </w:t>
      </w:r>
      <w:r w:rsidRPr="00BB7A6E">
        <w:t xml:space="preserve">termination. </w:t>
      </w:r>
    </w:p>
    <w:p w:rsidR="00C05F7B" w:rsidRDefault="00C05F7B" w:rsidP="00C05F7B">
      <w:pPr>
        <w:pStyle w:val="BodyText"/>
        <w:ind w:left="390"/>
      </w:pPr>
    </w:p>
    <w:p w:rsidR="00C05F7B" w:rsidRDefault="00C05F7B" w:rsidP="00C05F7B">
      <w:pPr>
        <w:pStyle w:val="Heading1"/>
        <w:keepNext/>
        <w:spacing w:before="1" w:line="240" w:lineRule="auto"/>
        <w:ind w:left="115"/>
      </w:pPr>
      <w:r>
        <w:t>Term</w:t>
      </w:r>
    </w:p>
    <w:p w:rsidR="00A62191" w:rsidRDefault="000E1AB5">
      <w:pPr>
        <w:pStyle w:val="BodyText"/>
        <w:spacing w:before="77"/>
        <w:ind w:left="120" w:right="170" w:firstLine="270"/>
      </w:pPr>
      <w:r>
        <w:t xml:space="preserve">This DSA will be in effect for a period of </w:t>
      </w:r>
      <w:r w:rsidR="00B04352">
        <w:t>two</w:t>
      </w:r>
      <w:r>
        <w:t xml:space="preserve"> years and will automatically renew annually until terminated or superseded by another agreement.</w:t>
      </w:r>
    </w:p>
    <w:p w:rsidR="00A62191" w:rsidRDefault="00A62191">
      <w:pPr>
        <w:pStyle w:val="BodyText"/>
        <w:spacing w:before="10"/>
        <w:rPr>
          <w:sz w:val="21"/>
        </w:rPr>
      </w:pPr>
    </w:p>
    <w:p w:rsidR="00A62191" w:rsidRDefault="000E1AB5">
      <w:pPr>
        <w:pStyle w:val="BodyText"/>
        <w:ind w:left="120" w:right="414" w:firstLine="270"/>
      </w:pPr>
      <w:r>
        <w:t>Any change impacting this DSA shall be communicated to the other party sixty (60) days prior to the intended date of change and shall become effective upon agreement in writing by the other party.</w:t>
      </w:r>
    </w:p>
    <w:p w:rsidR="00A62191" w:rsidRDefault="00A62191">
      <w:pPr>
        <w:pStyle w:val="BodyText"/>
      </w:pPr>
    </w:p>
    <w:p w:rsidR="00A62191" w:rsidRDefault="000E1AB5">
      <w:pPr>
        <w:pStyle w:val="BodyText"/>
        <w:ind w:left="120" w:right="170" w:firstLine="270"/>
      </w:pPr>
      <w:r>
        <w:t xml:space="preserve">Either the </w:t>
      </w:r>
      <w:r w:rsidR="00412056">
        <w:t>Commission</w:t>
      </w:r>
      <w:r>
        <w:t xml:space="preserve"> or the PSAP may terminate this DSA upon sixty (60) days written notice to the other party. To be effective, a termination notice must state expressly that the DSA is being terminated, summarize the reason for termination, and affirm that the terminating party has made appropriate arrangements for retention of existing ECaTS data.</w:t>
      </w:r>
    </w:p>
    <w:p w:rsidR="00A62191" w:rsidRDefault="00A62191">
      <w:pPr>
        <w:pStyle w:val="BodyText"/>
        <w:spacing w:before="1"/>
      </w:pPr>
    </w:p>
    <w:p w:rsidR="00A62191" w:rsidRDefault="000E1AB5">
      <w:pPr>
        <w:pStyle w:val="Heading1"/>
      </w:pPr>
      <w:r>
        <w:t>Governing Law</w:t>
      </w:r>
    </w:p>
    <w:p w:rsidR="00A62191" w:rsidRDefault="000E1AB5">
      <w:pPr>
        <w:pStyle w:val="BodyText"/>
        <w:ind w:left="120" w:right="1112" w:firstLine="270"/>
      </w:pPr>
      <w:r>
        <w:t xml:space="preserve">This DSA will be governed by and construed in accordance with the laws of the </w:t>
      </w:r>
      <w:r w:rsidR="00BB7A6E">
        <w:t>State of Nebraska</w:t>
      </w:r>
      <w:r>
        <w:t>.</w:t>
      </w:r>
    </w:p>
    <w:p w:rsidR="00A62191" w:rsidRDefault="00A62191">
      <w:pPr>
        <w:pStyle w:val="BodyText"/>
        <w:spacing w:before="2"/>
      </w:pPr>
    </w:p>
    <w:p w:rsidR="003D6A6C" w:rsidRDefault="003D6A6C" w:rsidP="003D6A6C">
      <w:pPr>
        <w:pStyle w:val="BodyText"/>
        <w:spacing w:before="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B2161" w:rsidRPr="00EB2161" w:rsidTr="00EB2161">
        <w:tc>
          <w:tcPr>
            <w:tcW w:w="4785" w:type="dxa"/>
          </w:tcPr>
          <w:p w:rsidR="00EB2161" w:rsidRDefault="00EB2161" w:rsidP="0021205C">
            <w:pPr>
              <w:pStyle w:val="BodyText"/>
              <w:spacing w:before="2"/>
            </w:pPr>
            <w:r>
              <w:t>__________________________________</w:t>
            </w:r>
          </w:p>
          <w:p w:rsidR="00EB2161" w:rsidRDefault="00EB2161" w:rsidP="0021205C">
            <w:pPr>
              <w:pStyle w:val="BodyText"/>
              <w:spacing w:before="2"/>
            </w:pPr>
            <w:r w:rsidRPr="00EB2161">
              <w:t>PSAP</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 xml:space="preserve">The </w:t>
            </w:r>
            <w:r w:rsidR="00412056">
              <w:t>Commission</w:t>
            </w:r>
          </w:p>
          <w:p w:rsidR="00EB2161" w:rsidRPr="00EB2161" w:rsidRDefault="00EB2161" w:rsidP="0021205C">
            <w:pPr>
              <w:pStyle w:val="BodyText"/>
              <w:spacing w:before="2"/>
            </w:pPr>
          </w:p>
        </w:tc>
      </w:tr>
      <w:tr w:rsidR="00EB2161" w:rsidRPr="00EB2161" w:rsidTr="00EB2161">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Address</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Address</w:t>
            </w:r>
          </w:p>
          <w:p w:rsidR="00EB2161" w:rsidRPr="00EB2161" w:rsidRDefault="00EB2161" w:rsidP="0021205C">
            <w:pPr>
              <w:pStyle w:val="BodyText"/>
              <w:spacing w:before="2"/>
            </w:pPr>
          </w:p>
        </w:tc>
      </w:tr>
      <w:tr w:rsidR="00EB2161" w:rsidRPr="00EB2161" w:rsidTr="00EB2161">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City, State, ZIP</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City, State, ZIP</w:t>
            </w:r>
          </w:p>
          <w:p w:rsidR="00EB2161" w:rsidRPr="00EB2161" w:rsidRDefault="00EB2161" w:rsidP="0021205C">
            <w:pPr>
              <w:pStyle w:val="BodyText"/>
              <w:spacing w:before="2"/>
            </w:pPr>
          </w:p>
        </w:tc>
      </w:tr>
      <w:tr w:rsidR="00EB2161" w:rsidRPr="00EB2161" w:rsidTr="00EB2161">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Signer’s Printed Name</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Signer’s Printed Name</w:t>
            </w:r>
          </w:p>
          <w:p w:rsidR="00EB2161" w:rsidRPr="00EB2161" w:rsidRDefault="00EB2161" w:rsidP="0021205C">
            <w:pPr>
              <w:pStyle w:val="BodyText"/>
              <w:spacing w:before="2"/>
            </w:pPr>
          </w:p>
        </w:tc>
      </w:tr>
      <w:tr w:rsidR="00EB2161" w:rsidRPr="00EB2161" w:rsidTr="00EB2161">
        <w:tc>
          <w:tcPr>
            <w:tcW w:w="4785" w:type="dxa"/>
          </w:tcPr>
          <w:p w:rsidR="00EB2161" w:rsidRDefault="00EB2161" w:rsidP="0021205C">
            <w:pPr>
              <w:pStyle w:val="BodyText"/>
              <w:spacing w:before="2"/>
            </w:pPr>
            <w:r>
              <w:t>__________________________________</w:t>
            </w:r>
          </w:p>
          <w:p w:rsidR="00EB2161" w:rsidRDefault="00EB2161" w:rsidP="0021205C">
            <w:pPr>
              <w:pStyle w:val="BodyText"/>
              <w:spacing w:before="2"/>
            </w:pPr>
            <w:r w:rsidRPr="00EB2161">
              <w:t>Signer’s Title/position</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Signer’s Title/position</w:t>
            </w:r>
          </w:p>
          <w:p w:rsidR="00EB2161" w:rsidRPr="00EB2161" w:rsidRDefault="00EB2161" w:rsidP="0021205C">
            <w:pPr>
              <w:pStyle w:val="BodyText"/>
              <w:spacing w:before="2"/>
            </w:pPr>
          </w:p>
        </w:tc>
      </w:tr>
      <w:tr w:rsidR="00EB2161" w:rsidRPr="00EB2161" w:rsidTr="00EB2161">
        <w:tc>
          <w:tcPr>
            <w:tcW w:w="4785" w:type="dxa"/>
          </w:tcPr>
          <w:p w:rsidR="00EB2161" w:rsidRDefault="00EB2161" w:rsidP="0021205C">
            <w:pPr>
              <w:pStyle w:val="BodyText"/>
              <w:spacing w:before="2"/>
            </w:pPr>
            <w:r>
              <w:t>__________________________________</w:t>
            </w:r>
          </w:p>
          <w:p w:rsidR="00EB2161" w:rsidRDefault="00EB2161" w:rsidP="0021205C">
            <w:pPr>
              <w:pStyle w:val="BodyText"/>
              <w:spacing w:before="2"/>
            </w:pPr>
            <w:r w:rsidRPr="00EB2161">
              <w:t>Email</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Email</w:t>
            </w:r>
          </w:p>
          <w:p w:rsidR="00EB2161" w:rsidRPr="00EB2161" w:rsidRDefault="00EB2161" w:rsidP="0021205C">
            <w:pPr>
              <w:pStyle w:val="BodyText"/>
              <w:spacing w:before="2"/>
            </w:pPr>
          </w:p>
        </w:tc>
      </w:tr>
      <w:tr w:rsidR="00EB2161" w:rsidRPr="00EB2161" w:rsidTr="00EB2161">
        <w:tc>
          <w:tcPr>
            <w:tcW w:w="4785" w:type="dxa"/>
          </w:tcPr>
          <w:p w:rsidR="00EB2161" w:rsidRDefault="00EB2161" w:rsidP="0021205C">
            <w:pPr>
              <w:pStyle w:val="BodyText"/>
              <w:spacing w:before="2"/>
            </w:pPr>
            <w:r>
              <w:t>__________________________________</w:t>
            </w:r>
          </w:p>
          <w:p w:rsidR="00EB2161" w:rsidRDefault="00EB2161" w:rsidP="0021205C">
            <w:pPr>
              <w:pStyle w:val="BodyText"/>
              <w:spacing w:before="2"/>
            </w:pPr>
            <w:r w:rsidRPr="00EB2161">
              <w:t>Phone</w:t>
            </w:r>
          </w:p>
          <w:p w:rsidR="00EB2161" w:rsidRPr="00EB2161" w:rsidRDefault="00EB2161" w:rsidP="0021205C">
            <w:pPr>
              <w:pStyle w:val="BodyText"/>
              <w:spacing w:before="2"/>
            </w:pPr>
          </w:p>
        </w:tc>
        <w:tc>
          <w:tcPr>
            <w:tcW w:w="4785" w:type="dxa"/>
          </w:tcPr>
          <w:p w:rsidR="00EB2161" w:rsidRDefault="00EB2161" w:rsidP="00EB2161">
            <w:pPr>
              <w:pStyle w:val="BodyText"/>
              <w:spacing w:before="2"/>
            </w:pPr>
            <w:r>
              <w:t>__________________________________</w:t>
            </w:r>
          </w:p>
          <w:p w:rsidR="00EB2161" w:rsidRDefault="00EB2161" w:rsidP="0021205C">
            <w:pPr>
              <w:pStyle w:val="BodyText"/>
              <w:spacing w:before="2"/>
            </w:pPr>
            <w:r w:rsidRPr="00EB2161">
              <w:t>Phone</w:t>
            </w:r>
          </w:p>
          <w:p w:rsidR="00EB2161" w:rsidRPr="00EB2161" w:rsidRDefault="00EB2161" w:rsidP="0021205C">
            <w:pPr>
              <w:pStyle w:val="BodyText"/>
              <w:spacing w:before="2"/>
            </w:pPr>
          </w:p>
        </w:tc>
      </w:tr>
      <w:tr w:rsidR="00EB2161" w:rsidRPr="00EB2161" w:rsidTr="00EB2161">
        <w:tc>
          <w:tcPr>
            <w:tcW w:w="4785" w:type="dxa"/>
          </w:tcPr>
          <w:p w:rsidR="00EB2161" w:rsidRPr="00EB2161" w:rsidRDefault="00EB2161" w:rsidP="0021205C">
            <w:pPr>
              <w:pStyle w:val="BodyText"/>
              <w:spacing w:before="2"/>
            </w:pPr>
          </w:p>
        </w:tc>
        <w:tc>
          <w:tcPr>
            <w:tcW w:w="4785" w:type="dxa"/>
          </w:tcPr>
          <w:p w:rsidR="00EB2161" w:rsidRPr="00EB2161" w:rsidRDefault="00EB2161" w:rsidP="0021205C">
            <w:pPr>
              <w:pStyle w:val="BodyText"/>
              <w:spacing w:before="2"/>
            </w:pPr>
          </w:p>
        </w:tc>
      </w:tr>
      <w:tr w:rsidR="00EB2161" w:rsidRPr="00EB2161" w:rsidTr="00EB2161">
        <w:tc>
          <w:tcPr>
            <w:tcW w:w="4785" w:type="dxa"/>
          </w:tcPr>
          <w:p w:rsidR="00EB2161" w:rsidRPr="00BB7A6E" w:rsidRDefault="00EB2161" w:rsidP="0021205C">
            <w:pPr>
              <w:pStyle w:val="BodyText"/>
              <w:spacing w:before="2"/>
            </w:pPr>
            <w:r w:rsidRPr="00BB7A6E">
              <w:t>__________________________________</w:t>
            </w:r>
          </w:p>
          <w:p w:rsidR="00EB2161" w:rsidRPr="00BB7A6E" w:rsidRDefault="00EB2161" w:rsidP="0021205C">
            <w:pPr>
              <w:pStyle w:val="BodyText"/>
              <w:spacing w:before="2"/>
              <w:rPr>
                <w:u w:val="single"/>
              </w:rPr>
            </w:pPr>
            <w:r w:rsidRPr="00BB7A6E">
              <w:t xml:space="preserve">Date </w:t>
            </w:r>
          </w:p>
          <w:p w:rsidR="00EB2161" w:rsidRPr="00BB7A6E" w:rsidRDefault="00EB2161" w:rsidP="0021205C">
            <w:pPr>
              <w:pStyle w:val="BodyText"/>
              <w:spacing w:before="2"/>
              <w:rPr>
                <w:u w:val="single"/>
              </w:rPr>
            </w:pPr>
          </w:p>
        </w:tc>
        <w:tc>
          <w:tcPr>
            <w:tcW w:w="4785" w:type="dxa"/>
          </w:tcPr>
          <w:p w:rsidR="00EB2161" w:rsidRDefault="00EB2161" w:rsidP="0021205C">
            <w:pPr>
              <w:pStyle w:val="BodyText"/>
              <w:spacing w:before="2"/>
              <w:rPr>
                <w:sz w:val="24"/>
              </w:rPr>
            </w:pPr>
            <w:r>
              <w:t>__________________________________</w:t>
            </w:r>
          </w:p>
          <w:p w:rsidR="00EB2161" w:rsidRPr="00BB7A6E" w:rsidRDefault="00EB2161" w:rsidP="0021205C">
            <w:pPr>
              <w:pStyle w:val="BodyText"/>
              <w:spacing w:before="2"/>
              <w:rPr>
                <w:u w:val="single"/>
              </w:rPr>
            </w:pPr>
            <w:r w:rsidRPr="00BB7A6E">
              <w:t xml:space="preserve">Date </w:t>
            </w:r>
          </w:p>
          <w:p w:rsidR="00EB2161" w:rsidRPr="00EB2161" w:rsidRDefault="00EB2161" w:rsidP="0021205C">
            <w:pPr>
              <w:pStyle w:val="BodyText"/>
              <w:spacing w:before="2"/>
              <w:rPr>
                <w:sz w:val="24"/>
                <w:u w:val="single"/>
              </w:rPr>
            </w:pPr>
          </w:p>
        </w:tc>
      </w:tr>
    </w:tbl>
    <w:p w:rsidR="003D6A6C" w:rsidRDefault="003D6A6C">
      <w:pPr>
        <w:pStyle w:val="BodyText"/>
        <w:spacing w:before="2"/>
      </w:pPr>
    </w:p>
    <w:sectPr w:rsidR="003D6A6C" w:rsidSect="00660C47">
      <w:pgSz w:w="12240" w:h="15840"/>
      <w:pgMar w:top="1440" w:right="1440" w:bottom="1440" w:left="1440" w:header="0" w:footer="10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7E" w:rsidRDefault="000E1AB5">
      <w:r>
        <w:separator/>
      </w:r>
    </w:p>
  </w:endnote>
  <w:endnote w:type="continuationSeparator" w:id="0">
    <w:p w:rsidR="00BF597E" w:rsidRDefault="000E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7E" w:rsidRDefault="000E1AB5">
      <w:r>
        <w:separator/>
      </w:r>
    </w:p>
  </w:footnote>
  <w:footnote w:type="continuationSeparator" w:id="0">
    <w:p w:rsidR="00BF597E" w:rsidRDefault="000E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6E16"/>
    <w:multiLevelType w:val="hybridMultilevel"/>
    <w:tmpl w:val="73D65F82"/>
    <w:lvl w:ilvl="0" w:tplc="A6C21142">
      <w:numFmt w:val="bullet"/>
      <w:lvlText w:val="-"/>
      <w:lvlJc w:val="left"/>
      <w:pPr>
        <w:ind w:left="750" w:hanging="360"/>
      </w:pPr>
      <w:rPr>
        <w:rFonts w:ascii="Calibri" w:eastAsia="Calibri" w:hAnsi="Calibri" w:cs="Calibri" w:hint="default"/>
        <w:i/>
        <w:sz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3D1B7F81"/>
    <w:multiLevelType w:val="hybridMultilevel"/>
    <w:tmpl w:val="8C680EB6"/>
    <w:lvl w:ilvl="0" w:tplc="C0C27CD6">
      <w:numFmt w:val="bullet"/>
      <w:lvlText w:val="-"/>
      <w:lvlJc w:val="left"/>
      <w:pPr>
        <w:ind w:left="1109" w:hanging="270"/>
      </w:pPr>
      <w:rPr>
        <w:rFonts w:ascii="Arial" w:eastAsia="Arial" w:hAnsi="Arial" w:cs="Arial" w:hint="default"/>
        <w:spacing w:val="-17"/>
        <w:w w:val="99"/>
        <w:sz w:val="24"/>
        <w:szCs w:val="24"/>
      </w:rPr>
    </w:lvl>
    <w:lvl w:ilvl="1" w:tplc="BCD2446C">
      <w:numFmt w:val="bullet"/>
      <w:lvlText w:val=""/>
      <w:lvlJc w:val="left"/>
      <w:pPr>
        <w:ind w:left="1560" w:hanging="360"/>
      </w:pPr>
      <w:rPr>
        <w:rFonts w:ascii="Symbol" w:eastAsia="Symbol" w:hAnsi="Symbol" w:cs="Symbol" w:hint="default"/>
        <w:w w:val="99"/>
        <w:sz w:val="22"/>
        <w:szCs w:val="22"/>
      </w:rPr>
    </w:lvl>
    <w:lvl w:ilvl="2" w:tplc="492806C4">
      <w:numFmt w:val="bullet"/>
      <w:lvlText w:val="•"/>
      <w:lvlJc w:val="left"/>
      <w:pPr>
        <w:ind w:left="2451" w:hanging="360"/>
      </w:pPr>
      <w:rPr>
        <w:rFonts w:hint="default"/>
      </w:rPr>
    </w:lvl>
    <w:lvl w:ilvl="3" w:tplc="F7E0F00E">
      <w:numFmt w:val="bullet"/>
      <w:lvlText w:val="•"/>
      <w:lvlJc w:val="left"/>
      <w:pPr>
        <w:ind w:left="3342" w:hanging="360"/>
      </w:pPr>
      <w:rPr>
        <w:rFonts w:hint="default"/>
      </w:rPr>
    </w:lvl>
    <w:lvl w:ilvl="4" w:tplc="E2F09884">
      <w:numFmt w:val="bullet"/>
      <w:lvlText w:val="•"/>
      <w:lvlJc w:val="left"/>
      <w:pPr>
        <w:ind w:left="4233" w:hanging="360"/>
      </w:pPr>
      <w:rPr>
        <w:rFonts w:hint="default"/>
      </w:rPr>
    </w:lvl>
    <w:lvl w:ilvl="5" w:tplc="98125904">
      <w:numFmt w:val="bullet"/>
      <w:lvlText w:val="•"/>
      <w:lvlJc w:val="left"/>
      <w:pPr>
        <w:ind w:left="5124" w:hanging="360"/>
      </w:pPr>
      <w:rPr>
        <w:rFonts w:hint="default"/>
      </w:rPr>
    </w:lvl>
    <w:lvl w:ilvl="6" w:tplc="71D68BDC">
      <w:numFmt w:val="bullet"/>
      <w:lvlText w:val="•"/>
      <w:lvlJc w:val="left"/>
      <w:pPr>
        <w:ind w:left="6015" w:hanging="360"/>
      </w:pPr>
      <w:rPr>
        <w:rFonts w:hint="default"/>
      </w:rPr>
    </w:lvl>
    <w:lvl w:ilvl="7" w:tplc="D97AC8B2">
      <w:numFmt w:val="bullet"/>
      <w:lvlText w:val="•"/>
      <w:lvlJc w:val="left"/>
      <w:pPr>
        <w:ind w:left="6906" w:hanging="360"/>
      </w:pPr>
      <w:rPr>
        <w:rFonts w:hint="default"/>
      </w:rPr>
    </w:lvl>
    <w:lvl w:ilvl="8" w:tplc="028CF4CA">
      <w:numFmt w:val="bullet"/>
      <w:lvlText w:val="•"/>
      <w:lvlJc w:val="left"/>
      <w:pPr>
        <w:ind w:left="7797" w:hanging="360"/>
      </w:pPr>
      <w:rPr>
        <w:rFonts w:hint="default"/>
      </w:rPr>
    </w:lvl>
  </w:abstractNum>
  <w:abstractNum w:abstractNumId="2" w15:restartNumberingAfterBreak="0">
    <w:nsid w:val="3E741962"/>
    <w:multiLevelType w:val="hybridMultilevel"/>
    <w:tmpl w:val="7492929A"/>
    <w:lvl w:ilvl="0" w:tplc="17F805D8">
      <w:numFmt w:val="bullet"/>
      <w:lvlText w:val="-"/>
      <w:lvlJc w:val="left"/>
      <w:pPr>
        <w:ind w:left="1110" w:hanging="360"/>
      </w:pPr>
      <w:rPr>
        <w:rFonts w:ascii="Calibri" w:eastAsia="Calibri" w:hAnsi="Calibri" w:cs="Calibri" w:hint="default"/>
        <w:i/>
        <w:sz w:val="24"/>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91"/>
    <w:rsid w:val="00002150"/>
    <w:rsid w:val="000747CB"/>
    <w:rsid w:val="000D7320"/>
    <w:rsid w:val="000E1AB5"/>
    <w:rsid w:val="001730CA"/>
    <w:rsid w:val="00344FE5"/>
    <w:rsid w:val="003D6A6C"/>
    <w:rsid w:val="00412056"/>
    <w:rsid w:val="004524E8"/>
    <w:rsid w:val="004F78F8"/>
    <w:rsid w:val="0052223E"/>
    <w:rsid w:val="00534170"/>
    <w:rsid w:val="00660C47"/>
    <w:rsid w:val="00676AF6"/>
    <w:rsid w:val="00750773"/>
    <w:rsid w:val="00780467"/>
    <w:rsid w:val="0091428D"/>
    <w:rsid w:val="00942EF2"/>
    <w:rsid w:val="00A62191"/>
    <w:rsid w:val="00AA1366"/>
    <w:rsid w:val="00AB26F9"/>
    <w:rsid w:val="00B04352"/>
    <w:rsid w:val="00B4369B"/>
    <w:rsid w:val="00B5226A"/>
    <w:rsid w:val="00BB6FB9"/>
    <w:rsid w:val="00BB7A6E"/>
    <w:rsid w:val="00BF597E"/>
    <w:rsid w:val="00C05F7B"/>
    <w:rsid w:val="00DE703A"/>
    <w:rsid w:val="00E1039E"/>
    <w:rsid w:val="00E13096"/>
    <w:rsid w:val="00E479A8"/>
    <w:rsid w:val="00EB2161"/>
    <w:rsid w:val="00EC2734"/>
    <w:rsid w:val="00ED5449"/>
    <w:rsid w:val="00EE3B48"/>
    <w:rsid w:val="00F3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BAF615-E5B2-4096-B54E-3BD3E08A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3096"/>
    <w:rPr>
      <w:rFonts w:ascii="Arial" w:eastAsia="Arial" w:hAnsi="Arial" w:cs="Arial"/>
    </w:rPr>
  </w:style>
  <w:style w:type="paragraph" w:styleId="Heading1">
    <w:name w:val="heading 1"/>
    <w:basedOn w:val="Normal"/>
    <w:uiPriority w:val="1"/>
    <w:qFormat/>
    <w:pPr>
      <w:spacing w:line="341" w:lineRule="exact"/>
      <w:ind w:left="120"/>
      <w:outlineLvl w:val="0"/>
    </w:pPr>
    <w:rPr>
      <w:rFonts w:ascii="Calibri" w:eastAsia="Calibri" w:hAnsi="Calibri" w:cs="Calibri"/>
      <w:b/>
      <w:bCs/>
      <w:sz w:val="28"/>
      <w:szCs w:val="28"/>
    </w:rPr>
  </w:style>
  <w:style w:type="paragraph" w:styleId="Heading2">
    <w:name w:val="heading 2"/>
    <w:basedOn w:val="Normal"/>
    <w:uiPriority w:val="1"/>
    <w:qFormat/>
    <w:pPr>
      <w:ind w:left="120"/>
      <w:outlineLvl w:val="1"/>
    </w:pPr>
    <w:rPr>
      <w:rFonts w:ascii="Calibri" w:eastAsia="Calibri" w:hAnsi="Calibri" w:cs="Calibri"/>
      <w:b/>
      <w:bCs/>
      <w:i/>
      <w:sz w:val="28"/>
      <w:szCs w:val="28"/>
    </w:rPr>
  </w:style>
  <w:style w:type="paragraph" w:styleId="Heading3">
    <w:name w:val="heading 3"/>
    <w:basedOn w:val="Normal"/>
    <w:uiPriority w:val="1"/>
    <w:qFormat/>
    <w:pPr>
      <w:spacing w:before="2"/>
      <w:ind w:left="667"/>
      <w:outlineLvl w:val="2"/>
    </w:pPr>
    <w:rPr>
      <w:rFonts w:ascii="Calibri" w:eastAsia="Calibri" w:hAnsi="Calibri" w:cs="Calibri"/>
      <w:b/>
      <w:bCs/>
      <w:sz w:val="26"/>
      <w:szCs w:val="26"/>
    </w:rPr>
  </w:style>
  <w:style w:type="paragraph" w:styleId="Heading4">
    <w:name w:val="heading 4"/>
    <w:basedOn w:val="Normal"/>
    <w:uiPriority w:val="1"/>
    <w:qFormat/>
    <w:pPr>
      <w:spacing w:before="2"/>
      <w:ind w:left="77"/>
      <w:outlineLvl w:val="3"/>
    </w:pPr>
    <w:rPr>
      <w:rFonts w:ascii="Calibri" w:eastAsia="Calibri"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26F9"/>
    <w:pPr>
      <w:tabs>
        <w:tab w:val="center" w:pos="4680"/>
        <w:tab w:val="right" w:pos="9360"/>
      </w:tabs>
    </w:pPr>
  </w:style>
  <w:style w:type="character" w:customStyle="1" w:styleId="HeaderChar">
    <w:name w:val="Header Char"/>
    <w:basedOn w:val="DefaultParagraphFont"/>
    <w:link w:val="Header"/>
    <w:uiPriority w:val="99"/>
    <w:rsid w:val="00AB26F9"/>
    <w:rPr>
      <w:rFonts w:ascii="Arial" w:eastAsia="Arial" w:hAnsi="Arial" w:cs="Arial"/>
    </w:rPr>
  </w:style>
  <w:style w:type="paragraph" w:styleId="Footer">
    <w:name w:val="footer"/>
    <w:basedOn w:val="Normal"/>
    <w:link w:val="FooterChar"/>
    <w:uiPriority w:val="99"/>
    <w:unhideWhenUsed/>
    <w:rsid w:val="00AB26F9"/>
    <w:pPr>
      <w:tabs>
        <w:tab w:val="center" w:pos="4680"/>
        <w:tab w:val="right" w:pos="9360"/>
      </w:tabs>
    </w:pPr>
  </w:style>
  <w:style w:type="character" w:customStyle="1" w:styleId="FooterChar">
    <w:name w:val="Footer Char"/>
    <w:basedOn w:val="DefaultParagraphFont"/>
    <w:link w:val="Footer"/>
    <w:uiPriority w:val="99"/>
    <w:rsid w:val="00AB26F9"/>
    <w:rPr>
      <w:rFonts w:ascii="Arial" w:eastAsia="Arial" w:hAnsi="Arial" w:cs="Arial"/>
    </w:rPr>
  </w:style>
  <w:style w:type="character" w:customStyle="1" w:styleId="BodyTextChar">
    <w:name w:val="Body Text Char"/>
    <w:basedOn w:val="DefaultParagraphFont"/>
    <w:link w:val="BodyText"/>
    <w:uiPriority w:val="1"/>
    <w:rsid w:val="00E13096"/>
    <w:rPr>
      <w:rFonts w:ascii="Arial" w:eastAsia="Arial" w:hAnsi="Arial" w:cs="Arial"/>
    </w:rPr>
  </w:style>
  <w:style w:type="table" w:styleId="TableGrid">
    <w:name w:val="Table Grid"/>
    <w:basedOn w:val="TableNormal"/>
    <w:uiPriority w:val="39"/>
    <w:rsid w:val="00EB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2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7118-F402-4F64-B08A-87D590F7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Data Sharing Agreement</vt:lpstr>
    </vt:vector>
  </TitlesOfParts>
  <Company>St of NE, Public Service Commission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Sharing Agreement</dc:title>
  <dc:creator>neh09202</dc:creator>
  <cp:lastModifiedBy>Caldwell, Sonya</cp:lastModifiedBy>
  <cp:revision>4</cp:revision>
  <dcterms:created xsi:type="dcterms:W3CDTF">2020-04-14T15:00:00Z</dcterms:created>
  <dcterms:modified xsi:type="dcterms:W3CDTF">2020-04-22T20:24:00Z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2019-04-15T00:00:00Z</vt:filetime>
  </property>
</Properties>
</file>